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7110FE" w14:paraId="00549E76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110FE" w14:paraId="00549E79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E77555">
        <w:trPr>
          <w:trHeight w:val="6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E77555">
        <w:trPr>
          <w:trHeight w:val="9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64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116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E77555">
        <w:trPr>
          <w:trHeight w:val="40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046C9B5D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Stříteský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E77555">
        <w:trPr>
          <w:trHeight w:val="3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207A233A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Martin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E77555">
        <w:trPr>
          <w:trHeight w:val="559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2" w14:textId="150A2B11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Doc. MUDr.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D.</w:t>
            </w: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6" w14:textId="36C815DD" w:rsidR="006A7C07" w:rsidRPr="00C33C67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33C67">
              <w:rPr>
                <w:sz w:val="20"/>
                <w:szCs w:val="20"/>
              </w:rPr>
              <w:t>https://www.portalvs.sk/regzam/detail/62323</w:t>
            </w: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E77555">
        <w:trPr>
          <w:trHeight w:val="30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63E3E209" w:rsidR="007110FE" w:rsidRDefault="00C33C67" w:rsidP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Urgentná zdravotná starostlivosť</w:t>
            </w:r>
            <w:r w:rsidR="00FD1CA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1. stupeň/  Emergenci Health Cara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E77555">
        <w:trPr>
          <w:trHeight w:val="972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790A6" w14:textId="49DE5614" w:rsidR="00DC4B73" w:rsidRDefault="00A67470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DC4B73">
              <w:rPr>
                <w:rFonts w:cstheme="minorHAnsi"/>
                <w:bCs/>
                <w:sz w:val="16"/>
              </w:rPr>
              <w:t>output</w:t>
            </w:r>
          </w:p>
          <w:p w14:paraId="1355019B" w14:textId="1A09AD9F" w:rsidR="00DC4B73" w:rsidRDefault="00A67470" w:rsidP="00DC4B73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 xml:space="preserve">edagogický výstup / </w:t>
            </w: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>edagogical output</w:t>
            </w:r>
          </w:p>
          <w:p w14:paraId="00549EB0" w14:textId="77450180" w:rsidR="00DC4B73" w:rsidRDefault="00DC4B73" w:rsidP="00DC4B73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4" w14:textId="51A460DC" w:rsidR="00DC4B73" w:rsidRDefault="007E318A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2009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52641D34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E77555">
        <w:trPr>
          <w:trHeight w:val="494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C" w14:textId="07029518" w:rsidR="00BF62BC" w:rsidRDefault="00BF62BC" w:rsidP="00EE5E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E77555">
        <w:trPr>
          <w:trHeight w:val="1065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084989" w14:textId="0865AFD8" w:rsidR="00DC4B73" w:rsidRDefault="00000000" w:rsidP="00EE5EB6">
            <w:pPr>
              <w:spacing w:after="0" w:line="240" w:lineRule="auto"/>
              <w:ind w:left="220" w:hangingChars="100" w:hanging="22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hyperlink r:id="rId18" w:history="1">
              <w:r w:rsidR="00EE5EB6" w:rsidRPr="00F934C4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https://www.ncbi.nlm.nih.gov/pmc/articles/PMC2671097/</w:t>
              </w:r>
            </w:hyperlink>
          </w:p>
          <w:p w14:paraId="00549EC1" w14:textId="3E017C3F" w:rsidR="00EE5EB6" w:rsidRDefault="00EE5EB6" w:rsidP="00EE5EB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E77555">
        <w:trPr>
          <w:trHeight w:val="151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90B37" w14:textId="125FFAE0" w:rsidR="00087359" w:rsidRPr="00EE5EB6" w:rsidRDefault="00087359" w:rsidP="0008735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</w:pPr>
            <w:r w:rsidRPr="00EE5E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Comparison of Three Protocols for Tight Glycemic Control in Cardiac Surgery Patients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. </w:t>
            </w:r>
          </w:p>
          <w:p w14:paraId="6B060143" w14:textId="6D617BE7" w:rsidR="00EE5EB6" w:rsidRDefault="00087359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8735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  <w:t>Blaha, J., Kopecky, P., Matias, M., Hovorka, R., Kunstyr, J., Kotulak, T., Lips, M., Rubes, D., Stritesky, M., Lindner, J., Semrad, M., Haluzik, M. Comparison of three protocols for tight glycemic control in cardiac surgery patients (2009) Diabetes Care, 32 (5), pp. 757-761. Cited 75 times.</w:t>
            </w:r>
          </w:p>
          <w:p w14:paraId="606B5542" w14:textId="77777777" w:rsidR="00EE5EB6" w:rsidRDefault="00EE5EB6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0B2B0CD" w14:textId="77777777" w:rsidR="00EE5EB6" w:rsidRDefault="00EE5EB6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2356A90" w14:textId="77777777" w:rsidR="00EE5EB6" w:rsidRDefault="00EE5EB6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549EC6" w14:textId="35F95076" w:rsidR="00DC4B73" w:rsidRDefault="00DC4B73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469A74B" w14:textId="77777777" w:rsidR="00E77555" w:rsidRDefault="00E77555">
      <w:r>
        <w:br w:type="page"/>
      </w:r>
    </w:p>
    <w:tbl>
      <w:tblPr>
        <w:tblW w:w="104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DC4B73" w14:paraId="00549ECE" w14:textId="77777777" w:rsidTr="00E77555">
        <w:trPr>
          <w:trHeight w:val="1290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1C11DD76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37AAC3" w14:textId="77777777" w:rsidR="00087359" w:rsidRPr="00087359" w:rsidRDefault="00087359" w:rsidP="00087359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087359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Document Type: Article Publication Stage: Final Access Type: Open Access Source: Scopus</w:t>
            </w:r>
          </w:p>
          <w:p w14:paraId="00549ECC" w14:textId="2335D7F4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E77555">
        <w:trPr>
          <w:trHeight w:val="11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1" w14:textId="4B1EF253" w:rsidR="009B3A0F" w:rsidRDefault="00087359" w:rsidP="00DC4B73">
            <w:pPr>
              <w:spacing w:after="0" w:line="240" w:lineRule="auto"/>
              <w:rPr>
                <w:lang w:val="en-US" w:eastAsia="sk-SK"/>
              </w:rPr>
            </w:pPr>
            <w:r w:rsidRPr="00087359">
              <w:t>https://www.ncbi.nlm.nih.gov/pmc/articles/PMC2671097</w:t>
            </w: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E77555">
        <w:trPr>
          <w:trHeight w:val="76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6" w14:textId="449F1A08" w:rsidR="00DC4B73" w:rsidRDefault="00E933B6" w:rsidP="00DC4B73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odiel autora</w:t>
            </w:r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="0008735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Stříteský 10%</w:t>
            </w:r>
          </w:p>
          <w:p w14:paraId="00549ED7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E77555">
        <w:trPr>
          <w:trHeight w:val="23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E5C7BC" w14:textId="77777777" w:rsidR="007E318A" w:rsidRPr="007E318A" w:rsidRDefault="007E318A" w:rsidP="007E318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</w:p>
          <w:p w14:paraId="5D8C6F4A" w14:textId="77777777" w:rsidR="007E318A" w:rsidRPr="007E318A" w:rsidRDefault="007E318A" w:rsidP="007E318A">
            <w:pPr>
              <w:pStyle w:val="FormtovanvHTML"/>
              <w:shd w:val="clear" w:color="auto" w:fill="F8F9FA"/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</w:pP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Provedli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jsme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randomizovanou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studii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s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cílem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porovnat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tři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protokoly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titrace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inzulínu pro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přísnou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kontrolu glykémie (TGC) na chirurgické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jednotce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intenzivní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péče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: protokol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absolutní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glukózy (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Matias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), protokol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relativní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změny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glukózy (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Bath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) a vylepšený model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prediktivní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kontroly (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eMPC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) algoritmus.</w:t>
            </w:r>
          </w:p>
          <w:p w14:paraId="5333188B" w14:textId="77777777" w:rsidR="007E318A" w:rsidRPr="007E318A" w:rsidRDefault="007E318A" w:rsidP="007E318A">
            <w:pPr>
              <w:pStyle w:val="FormtovanvHTML"/>
              <w:shd w:val="clear" w:color="auto" w:fill="F8F9FA"/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</w:pP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Celkem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120 po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sobě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jdoucích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pacientů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po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kardiochirurgickém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výkonu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bylo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náhodně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rozděleno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do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tří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protokolů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s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cílovým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rozmezím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glykémie od 4,4 do 6,1 mmol/l.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Intravenózní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inzulín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byl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podáván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kontinuálně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nebo v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kombinaci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s inzulínovými bolusy (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Matiasův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protokol). Hladina glukózy v krvi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byla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měřena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v 1- až 4-hodinových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intervalech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, jak to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vyžadují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protokoly.</w:t>
            </w:r>
          </w:p>
          <w:p w14:paraId="21B21546" w14:textId="77777777" w:rsidR="007E318A" w:rsidRPr="007E318A" w:rsidRDefault="007E318A" w:rsidP="007E318A">
            <w:pPr>
              <w:pStyle w:val="FormtovanvHTML"/>
              <w:shd w:val="clear" w:color="auto" w:fill="F8F9FA"/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</w:pPr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Algoritmus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eMPC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podal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nejlepší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výkon, jak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bylo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hodnoceno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podle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času do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cíle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(8,8 ± 2,2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10,9 ± 1,0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12,3 ± 1,9 h;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eMPC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Matias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Bath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, v tomto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pořadí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; P &lt; 0,05),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průměrná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glykémie po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dosažení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cíl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(5,2 ± 0,1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6,2 ± 0,1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5,8 ± 0,1 mmol/l; P &lt; 0,01), čas v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cíli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(62,8 ± 4,4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48,4 ± 3,28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55,5 ± 3,2 % v; P &lt; hyperglykémie &gt;8,3 mmol/l (1,3 ± 1,2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12,8 ± 2,2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6,5 ± 2,0 %; P &lt; 0,05) a interval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odběru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(2,3 ± 0,1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2,1 ± 0,1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1,8 ± 0,1 h) &lt; 0,1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1,8 ± 0,1 . Doba v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rozmezí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rizika hypoglykémie (2,9–4,3 mmol/l)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skupině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eMPC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však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byla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nejdelší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(22,2 ± 1,9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10,9 ± 1,5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. 13,1 ± 1,6; P &lt; 0,05).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skupině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eMPC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nevyskytla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žádná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těžká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hypoglykemická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epizoda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(&lt;2,3 mmol/l)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srovnání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s jednou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skupině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Matias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a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dvěma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ve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skupině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Bath</w:t>
            </w:r>
            <w:proofErr w:type="spellEnd"/>
            <w:r w:rsidRPr="007E318A">
              <w:rPr>
                <w:rStyle w:val="y2iqfc"/>
                <w:rFonts w:asciiTheme="minorHAnsi" w:hAnsiTheme="minorHAnsi" w:cstheme="minorHAnsi"/>
                <w:color w:val="1F1F1F"/>
                <w:sz w:val="18"/>
                <w:szCs w:val="18"/>
              </w:rPr>
              <w:t>.</w:t>
            </w:r>
          </w:p>
          <w:p w14:paraId="00549EDE" w14:textId="68713D12" w:rsidR="00DC4B73" w:rsidRPr="007E318A" w:rsidRDefault="00DC4B73" w:rsidP="007E318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DF" w14:textId="77777777" w:rsidR="00DC4B73" w:rsidRPr="007E318A" w:rsidRDefault="00DC4B73" w:rsidP="00DC4B73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</w:p>
        </w:tc>
      </w:tr>
      <w:tr w:rsidR="007E318A" w14:paraId="00549EE5" w14:textId="77777777" w:rsidTr="00E77555">
        <w:trPr>
          <w:trHeight w:val="9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DA38A0" w14:textId="77777777" w:rsidR="007E318A" w:rsidRP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randomized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trial to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insulin-titration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protocols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tight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glycemic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control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(TGC) in a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surgical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intensive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absolute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glucose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Matias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protocol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relative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glucose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change (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Bath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protocol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enhanced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model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predictive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control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algorithm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048CE02D" w14:textId="77777777" w:rsidR="007E318A" w:rsidRP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total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120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consecutive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cardiac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surgery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randomly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assigned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protocols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target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glycemia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range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4.4 to 6.1 mmol/l.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Intravenous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insulin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administered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continuously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combination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insulin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boluses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Matias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protocol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).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Blood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glucose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measured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1- to 4-h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intervals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requested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protocols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06A56CD9" w14:textId="77777777" w:rsidR="007E318A" w:rsidRP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algorithm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gave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best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performance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target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(8.8 ± 2.2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10.9 ± 1.0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12.3 ± 1.9 h;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Matias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Bath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respectively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; P &lt; 0.05),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average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blood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glucose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reaching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target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(5.2 ± 0.1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6.2 ± 0.1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5.8 ± 0.1 mmol/l; P &lt; 0.01),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target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(62.8 ± 4.4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48.4 ± 3.28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55.5 ± 3.2%; P &lt; 0.05),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hyperglycemia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&gt;8.3 mmol/l (1.3 ± 1.2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12.8 ± 2.2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6.5 ± 2.0%; P &lt; 0.05), and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sampling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interval (2.3 ± 0.1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2.1 ± 0.1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1.8 ± 0.1 h; P &lt; 0.05).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However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hypoglycemia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range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(2.9–4.3 mmol/l)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longest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(22.2 ± 1.9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10.9 ± 1.5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13.1 ± 1.6; P &lt; 0.05). No severe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hypoglycemic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episode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(&lt;2.3 mmol/l)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eMPC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compared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Matias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Bath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7E3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134D6FAA" w14:textId="77777777" w:rsidR="007E318A" w:rsidRP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549EE3" w14:textId="4384BA1C" w:rsidR="007E318A" w:rsidRDefault="007E318A" w:rsidP="007E318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4" w14:textId="77777777" w:rsidR="007E318A" w:rsidRDefault="007E318A" w:rsidP="007E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318A" w14:paraId="00549EEE" w14:textId="77777777" w:rsidTr="00E77555">
        <w:trPr>
          <w:trHeight w:val="8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F878F" w14:textId="77777777" w:rsidR="007E318A" w:rsidRDefault="007E318A" w:rsidP="007E318A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2BFF972A" w14:textId="77777777" w:rsidR="00121F20" w:rsidRPr="0085370E" w:rsidRDefault="00121F20" w:rsidP="00121F20">
            <w:pPr>
              <w:spacing w:after="0"/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</w:pPr>
            <w:r>
              <w:rPr>
                <w:rFonts w:eastAsia="SimSun" w:cstheme="minorHAnsi"/>
                <w:color w:val="212529"/>
                <w:sz w:val="18"/>
                <w:szCs w:val="18"/>
                <w:shd w:val="clear" w:color="auto" w:fill="FFFFFF"/>
                <w:lang w:eastAsia="sk-SK"/>
              </w:rPr>
              <w:t>75</w:t>
            </w:r>
          </w:p>
          <w:p w14:paraId="0756EE6B" w14:textId="77777777" w:rsidR="00121F20" w:rsidRPr="0085370E" w:rsidRDefault="00121F20" w:rsidP="00121F20">
            <w:pPr>
              <w:rPr>
                <w:rFonts w:cstheme="minorHAnsi"/>
                <w:sz w:val="18"/>
                <w:szCs w:val="18"/>
              </w:rPr>
            </w:pPr>
            <w:r w:rsidRPr="0085370E">
              <w:rPr>
                <w:rFonts w:cstheme="minorHAnsi"/>
                <w:sz w:val="18"/>
                <w:szCs w:val="18"/>
              </w:rPr>
              <w:t xml:space="preserve">1)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Watkins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>, A.R., Fialka, N., El-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Andari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R.,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Kang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J.J.H.,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Bozso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S.J.,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Nagendran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J.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Effect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of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glucagon-like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peptide-1 receptor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agonists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administration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during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coronary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artery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bypass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grafting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a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systematic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review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meta-analysis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of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randomized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control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trials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(2023)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Future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Cardiology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19 (2),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pp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. 105-115. 2-s2.0-85159737682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Document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Type: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Review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Publication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Stage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Final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Source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Scopus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D052F47" w14:textId="77777777" w:rsidR="00121F20" w:rsidRPr="0085370E" w:rsidRDefault="00121F20" w:rsidP="00121F20">
            <w:pPr>
              <w:rPr>
                <w:rFonts w:cstheme="minorHAnsi"/>
                <w:sz w:val="18"/>
                <w:szCs w:val="18"/>
              </w:rPr>
            </w:pPr>
            <w:r w:rsidRPr="0085370E">
              <w:rPr>
                <w:rFonts w:cstheme="minorHAnsi"/>
                <w:sz w:val="18"/>
                <w:szCs w:val="18"/>
              </w:rPr>
              <w:t xml:space="preserve">2) Chase, J.G.,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Zhou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C.,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Knopp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J.L.,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Moeller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K.,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Benyo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B.,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Desaive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T.,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Wong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J.H.K.,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Malinen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S.,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Naswall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K.,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Shaw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G.M.,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Lambermont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B.,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Chiew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Y.S.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Digital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Twins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Automation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of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in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the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Intensive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Unit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(2023)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Cyber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>–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Physical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>–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Human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Systems: Fundamentals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Applications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pp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. 457-489. 2-s2.0-85165048075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Document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Type: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Book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Chapter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Publication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Stage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Final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Source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Scopus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AF3774F" w14:textId="77777777" w:rsidR="00121F20" w:rsidRPr="0085370E" w:rsidRDefault="00121F20" w:rsidP="00121F20">
            <w:pPr>
              <w:rPr>
                <w:rFonts w:cstheme="minorHAnsi"/>
                <w:sz w:val="18"/>
                <w:szCs w:val="18"/>
              </w:rPr>
            </w:pPr>
            <w:r w:rsidRPr="0085370E">
              <w:rPr>
                <w:rFonts w:cstheme="minorHAnsi"/>
                <w:sz w:val="18"/>
                <w:szCs w:val="18"/>
              </w:rPr>
              <w:t xml:space="preserve">3)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González-Caro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M.-D.,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Fernández-Castillo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R.-J.,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Carmona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-Pastor, M.,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Arroyo-Muñoz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F.-J.,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González-Fernández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F.-J.,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Garnacho-Montero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J.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Effectiveness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safety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of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the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Space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GlucoseControl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system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for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glycaemia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control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in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caring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for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postoperative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cardiac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surgical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patients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(2022)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Australian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Critical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35 (2),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pp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. 136-142.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Cited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1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time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. 2-s2.0-85105248616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Document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Type: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Article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Publication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Stage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Final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Source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Scopus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934D43D" w14:textId="77777777" w:rsidR="00121F20" w:rsidRPr="0085370E" w:rsidRDefault="00121F20" w:rsidP="00121F20">
            <w:pPr>
              <w:rPr>
                <w:rFonts w:cstheme="minorHAnsi"/>
                <w:sz w:val="18"/>
                <w:szCs w:val="18"/>
              </w:rPr>
            </w:pPr>
            <w:r w:rsidRPr="0085370E">
              <w:rPr>
                <w:rFonts w:cstheme="minorHAnsi"/>
                <w:sz w:val="18"/>
                <w:szCs w:val="18"/>
              </w:rPr>
              <w:t xml:space="preserve">4)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Mebrahtu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T.F.,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Skyrme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S.,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Randell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R.,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Keenan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A.-M.,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Bloor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K.,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Yang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H.,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Andre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D.,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Ledward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A., </w:t>
            </w:r>
            <w:r w:rsidRPr="0085370E">
              <w:rPr>
                <w:rFonts w:cstheme="minorHAnsi"/>
                <w:sz w:val="18"/>
                <w:szCs w:val="18"/>
              </w:rPr>
              <w:lastRenderedPageBreak/>
              <w:t xml:space="preserve">King, H.,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Thompson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C.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Effects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of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computerised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clinical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decision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support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systems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(CDSS) on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nursing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allied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health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professional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performance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patient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outcomes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A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systematic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review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of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experimental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observational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studies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(2021) BMJ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Open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11 (12), art. no. e053886, 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Cited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12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times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. 2-s2.0-85122215286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Document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Type: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Review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Publication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Stage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Final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Source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Scopus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ABEE706" w14:textId="77777777" w:rsidR="00121F20" w:rsidRPr="0085370E" w:rsidRDefault="00121F20" w:rsidP="00121F20">
            <w:pPr>
              <w:rPr>
                <w:rFonts w:cstheme="minorHAnsi"/>
                <w:sz w:val="18"/>
                <w:szCs w:val="18"/>
              </w:rPr>
            </w:pPr>
            <w:r w:rsidRPr="0085370E">
              <w:rPr>
                <w:rFonts w:cstheme="minorHAnsi"/>
                <w:sz w:val="18"/>
                <w:szCs w:val="18"/>
              </w:rPr>
              <w:t xml:space="preserve">5)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Chancellor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W.Z.,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Mehaffey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J.H.,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Hawkins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R.B., Charles, E.J.,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Tribble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C.,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Yarboro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L.T.,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Ailawadi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G.,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Kirby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J.L.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Electronic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Glycemic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Management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System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and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Endocrinology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Service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Improve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Value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in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Cardiac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Surgery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(2021) American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Surgeon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, 87 (4),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pp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. 568-575.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Cited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2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times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. 2-s2.0-85104894239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Document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Type: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Article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Publication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Stage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Final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Source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: </w:t>
            </w:r>
            <w:proofErr w:type="spellStart"/>
            <w:r w:rsidRPr="0085370E">
              <w:rPr>
                <w:rFonts w:cstheme="minorHAnsi"/>
                <w:sz w:val="18"/>
                <w:szCs w:val="18"/>
              </w:rPr>
              <w:t>Scopus</w:t>
            </w:r>
            <w:proofErr w:type="spellEnd"/>
            <w:r w:rsidRPr="0085370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6FAB08E" w14:textId="77777777" w:rsidR="007E318A" w:rsidRDefault="007E318A" w:rsidP="007E318A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0549EEC" w14:textId="24EF9A2F" w:rsidR="007E318A" w:rsidRPr="00B67A32" w:rsidRDefault="007E318A" w:rsidP="007E318A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7E318A" w:rsidRDefault="007E318A" w:rsidP="007E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318A" w14:paraId="00549EF2" w14:textId="77777777" w:rsidTr="00E77555">
        <w:trPr>
          <w:trHeight w:val="117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F0" w14:textId="55E49924" w:rsidR="007E318A" w:rsidRDefault="007E318A" w:rsidP="007E318A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F1" w14:textId="77777777" w:rsidR="007E318A" w:rsidRDefault="007E318A" w:rsidP="007E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318A" w14:paraId="00549EF6" w14:textId="77777777" w:rsidTr="00E77555">
        <w:trPr>
          <w:trHeight w:val="129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7E318A" w:rsidRDefault="007E318A" w:rsidP="007E31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F4" w14:textId="3DD3D32B" w:rsidR="007E318A" w:rsidRPr="005040DB" w:rsidRDefault="007E318A" w:rsidP="007E318A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549EF5" w14:textId="77777777" w:rsidR="007E318A" w:rsidRDefault="007E318A" w:rsidP="007E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B1197" w14:textId="77777777" w:rsidR="004B1A37" w:rsidRDefault="004B1A37">
      <w:pPr>
        <w:spacing w:line="240" w:lineRule="auto"/>
      </w:pPr>
      <w:r>
        <w:separator/>
      </w:r>
    </w:p>
  </w:endnote>
  <w:endnote w:type="continuationSeparator" w:id="0">
    <w:p w14:paraId="3231E0CD" w14:textId="77777777" w:rsidR="004B1A37" w:rsidRDefault="004B1A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D047B" w14:textId="77777777" w:rsidR="004B1A37" w:rsidRDefault="004B1A37">
      <w:pPr>
        <w:spacing w:after="0"/>
      </w:pPr>
      <w:r>
        <w:separator/>
      </w:r>
    </w:p>
  </w:footnote>
  <w:footnote w:type="continuationSeparator" w:id="0">
    <w:p w14:paraId="35B48D91" w14:textId="77777777" w:rsidR="004B1A37" w:rsidRDefault="004B1A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395564">
    <w:abstractNumId w:val="0"/>
  </w:num>
  <w:num w:numId="2" w16cid:durableId="1881746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77B48"/>
    <w:rsid w:val="00087359"/>
    <w:rsid w:val="000904A6"/>
    <w:rsid w:val="00096BE7"/>
    <w:rsid w:val="000C3455"/>
    <w:rsid w:val="0010663B"/>
    <w:rsid w:val="00114DE7"/>
    <w:rsid w:val="001200EA"/>
    <w:rsid w:val="00121F20"/>
    <w:rsid w:val="00163E54"/>
    <w:rsid w:val="00190A9C"/>
    <w:rsid w:val="001944EC"/>
    <w:rsid w:val="001D5800"/>
    <w:rsid w:val="001F2B01"/>
    <w:rsid w:val="00203C43"/>
    <w:rsid w:val="00211BB7"/>
    <w:rsid w:val="0023661A"/>
    <w:rsid w:val="00247A8A"/>
    <w:rsid w:val="002835F8"/>
    <w:rsid w:val="00335EC1"/>
    <w:rsid w:val="00373997"/>
    <w:rsid w:val="003D2FE0"/>
    <w:rsid w:val="003D6E5F"/>
    <w:rsid w:val="0040091F"/>
    <w:rsid w:val="004024D4"/>
    <w:rsid w:val="004164B0"/>
    <w:rsid w:val="00486237"/>
    <w:rsid w:val="00494BE4"/>
    <w:rsid w:val="004951B1"/>
    <w:rsid w:val="004B1A37"/>
    <w:rsid w:val="004C0ADE"/>
    <w:rsid w:val="004E7748"/>
    <w:rsid w:val="005040DB"/>
    <w:rsid w:val="00521676"/>
    <w:rsid w:val="005C4FE3"/>
    <w:rsid w:val="005D04A4"/>
    <w:rsid w:val="00610ADD"/>
    <w:rsid w:val="00625D24"/>
    <w:rsid w:val="00655442"/>
    <w:rsid w:val="0069452C"/>
    <w:rsid w:val="006A3559"/>
    <w:rsid w:val="006A7C07"/>
    <w:rsid w:val="0070419C"/>
    <w:rsid w:val="007110FE"/>
    <w:rsid w:val="00727248"/>
    <w:rsid w:val="0073261A"/>
    <w:rsid w:val="00787BE8"/>
    <w:rsid w:val="007A728C"/>
    <w:rsid w:val="007B6A26"/>
    <w:rsid w:val="007E318A"/>
    <w:rsid w:val="007E5432"/>
    <w:rsid w:val="007F6E81"/>
    <w:rsid w:val="0081212E"/>
    <w:rsid w:val="008A5E3E"/>
    <w:rsid w:val="008E64DE"/>
    <w:rsid w:val="00902BE9"/>
    <w:rsid w:val="009034E3"/>
    <w:rsid w:val="00920192"/>
    <w:rsid w:val="009465DB"/>
    <w:rsid w:val="00951B66"/>
    <w:rsid w:val="009B3A0F"/>
    <w:rsid w:val="009C5D91"/>
    <w:rsid w:val="009E5EA4"/>
    <w:rsid w:val="00A02ED9"/>
    <w:rsid w:val="00A20839"/>
    <w:rsid w:val="00A326BC"/>
    <w:rsid w:val="00A37B1B"/>
    <w:rsid w:val="00A63CAB"/>
    <w:rsid w:val="00A655B1"/>
    <w:rsid w:val="00A67470"/>
    <w:rsid w:val="00A90BAD"/>
    <w:rsid w:val="00AA5FD2"/>
    <w:rsid w:val="00B029EA"/>
    <w:rsid w:val="00B13865"/>
    <w:rsid w:val="00B20565"/>
    <w:rsid w:val="00B46660"/>
    <w:rsid w:val="00B47C93"/>
    <w:rsid w:val="00B67A32"/>
    <w:rsid w:val="00BA6B33"/>
    <w:rsid w:val="00BF62BC"/>
    <w:rsid w:val="00C33C67"/>
    <w:rsid w:val="00C738E3"/>
    <w:rsid w:val="00D1416B"/>
    <w:rsid w:val="00D17789"/>
    <w:rsid w:val="00D2301A"/>
    <w:rsid w:val="00D504A2"/>
    <w:rsid w:val="00D55C26"/>
    <w:rsid w:val="00D92C14"/>
    <w:rsid w:val="00DC4B73"/>
    <w:rsid w:val="00DC5450"/>
    <w:rsid w:val="00E01987"/>
    <w:rsid w:val="00E10036"/>
    <w:rsid w:val="00E157CC"/>
    <w:rsid w:val="00E77555"/>
    <w:rsid w:val="00E933B6"/>
    <w:rsid w:val="00EC0585"/>
    <w:rsid w:val="00ED4C63"/>
    <w:rsid w:val="00EE5EB6"/>
    <w:rsid w:val="00EF3213"/>
    <w:rsid w:val="00F14933"/>
    <w:rsid w:val="00F33F25"/>
    <w:rsid w:val="00F66104"/>
    <w:rsid w:val="00F74D81"/>
    <w:rsid w:val="00F8529E"/>
    <w:rsid w:val="00FC3BE3"/>
    <w:rsid w:val="00FD1AC3"/>
    <w:rsid w:val="00FD1CA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36D884C7-04B7-43C1-94D1-8D572643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99"/>
    <w:rsid w:val="007E5432"/>
    <w:pPr>
      <w:ind w:left="720"/>
      <w:contextualSpacing/>
    </w:p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7E318A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7E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www.ncbi.nlm.nih.gov/pmc/articles/PMC2671097/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1647</Words>
  <Characters>9721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Dagmar Kalátová</cp:lastModifiedBy>
  <cp:revision>2</cp:revision>
  <dcterms:created xsi:type="dcterms:W3CDTF">2024-03-20T10:07:00Z</dcterms:created>
  <dcterms:modified xsi:type="dcterms:W3CDTF">2024-03-20T10:07:00Z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